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png" ContentType="image/png"/>
  <Override PartName="/word/media/rId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Aspirinas</w:t>
      </w:r>
      <w:r>
        <w:t xml:space="preserve"> </w:t>
      </w:r>
      <w:r>
        <w:t xml:space="preserve">ir</w:t>
      </w:r>
      <w:r>
        <w:t xml:space="preserve"> </w:t>
      </w:r>
      <w:r>
        <w:t xml:space="preserve">heparinas</w:t>
      </w:r>
      <w:r>
        <w:t xml:space="preserve"> </w:t>
      </w:r>
      <w:r>
        <w:t xml:space="preserve">po</w:t>
      </w:r>
      <w:r>
        <w:t xml:space="preserve"> </w:t>
      </w:r>
      <w:r>
        <w:t xml:space="preserve">išeminio</w:t>
      </w:r>
      <w:r>
        <w:t xml:space="preserve"> </w:t>
      </w:r>
      <w:r>
        <w:t xml:space="preserve">insulto</w:t>
      </w:r>
    </w:p>
    <w:p>
      <w:pPr>
        <w:pStyle w:val="Subtitle"/>
      </w:pPr>
      <w:r>
        <w:t xml:space="preserve">Tarptautinio</w:t>
      </w:r>
      <w:r>
        <w:t xml:space="preserve"> </w:t>
      </w:r>
      <w:r>
        <w:t xml:space="preserve">insulto</w:t>
      </w:r>
      <w:r>
        <w:t xml:space="preserve"> </w:t>
      </w:r>
      <w:r>
        <w:t xml:space="preserve">tyrimo</w:t>
      </w:r>
      <w:r>
        <w:t xml:space="preserve"> </w:t>
      </w:r>
      <w:r>
        <w:t xml:space="preserve">(IST-1)</w:t>
      </w:r>
      <w:r>
        <w:t xml:space="preserve"> </w:t>
      </w:r>
      <w:r>
        <w:t xml:space="preserve">duomenų</w:t>
      </w:r>
      <w:r>
        <w:t xml:space="preserve"> </w:t>
      </w:r>
      <w:r>
        <w:t xml:space="preserve">pakartotinė</w:t>
      </w:r>
      <w:r>
        <w:t xml:space="preserve"> </w:t>
      </w:r>
      <w:r>
        <w:t xml:space="preserve">analizė</w:t>
      </w:r>
    </w:p>
    <w:p>
      <w:pPr>
        <w:pStyle w:val="Author"/>
      </w:pPr>
      <w:r>
        <w:t xml:space="preserve">Paulius</w:t>
      </w:r>
      <w:r>
        <w:t xml:space="preserve"> </w:t>
      </w:r>
      <w:r>
        <w:t xml:space="preserve">Alaburda,</w:t>
      </w:r>
      <w:r>
        <w:t xml:space="preserve"> </w:t>
      </w:r>
      <w:r>
        <w:t xml:space="preserve">statistikas.lt</w:t>
      </w:r>
    </w:p>
    <w:p>
      <w:pPr>
        <w:pStyle w:val="Date"/>
      </w:pPr>
      <w:r>
        <w:t xml:space="preserve">2026</w:t>
      </w:r>
      <w:r>
        <w:t xml:space="preserve"> </w:t>
      </w:r>
      <w:r>
        <w:t xml:space="preserve">m.</w:t>
      </w:r>
      <w:r>
        <w:t xml:space="preserve"> </w:t>
      </w:r>
      <w:r>
        <w:t xml:space="preserve">spalio</w:t>
      </w:r>
      <w:r>
        <w:t xml:space="preserve"> </w:t>
      </w:r>
      <w:r>
        <w:t xml:space="preserve">17</w:t>
      </w:r>
      <w:r>
        <w:t xml:space="preserve"> </w:t>
      </w:r>
      <w:r>
        <w:t xml:space="preserve">d.</w:t>
      </w:r>
    </w:p>
    <w:sdt>
      <w:sdtPr>
        <w:docPartObj>
          <w:docPartGallery w:val="Table of Contents"/>
          <w:docPartUnique/>
        </w:docPartObj>
      </w:sdtPr>
      <w:sdtContent>
        <w:p>
          <w:pPr>
            <w:pStyle w:val="TOCHeading"/>
          </w:pPr>
          <w:r>
            <w:t xml:space="preserve">Turinys</w:t>
          </w:r>
        </w:p>
        <w:p>
          <w:r>
            <w:fldChar w:fldCharType="begin" w:dirty="true"/>
            <w:instrText xml:space="preserve">TOC \o "1-3" \h \z \u</w:instrText>
            <w:fldChar w:fldCharType="separate"/>
            <w:fldChar w:fldCharType="end"/>
          </w:r>
        </w:p>
      </w:sdtContent>
    </w:sdt>
    <w:bookmarkStart w:id="20" w:name="santrauka"/>
    <w:p>
      <w:pPr>
        <w:pStyle w:val="Heading1"/>
      </w:pPr>
      <w:r>
        <w:t xml:space="preserve">Santrauka</w:t>
      </w:r>
    </w:p>
    <w:p>
      <w:pPr>
        <w:pStyle w:val="FirstParagraph"/>
      </w:pPr>
      <w:r>
        <w:rPr>
          <w:b/>
          <w:bCs/>
        </w:rPr>
        <w:t xml:space="preserve">Klausimas.</w:t>
      </w:r>
      <w:r>
        <w:t xml:space="preserve"> </w:t>
      </w:r>
      <w:r>
        <w:t xml:space="preserve">Ar aspirinas ar poodinis heparinas, paskirti per 48 valandas nuo išeminio insulto pradžios, sumažina mirčių ir priklausomybės nuo kitų žmonių riziką po 6 mėnesių?</w:t>
      </w:r>
    </w:p>
    <w:p>
      <w:pPr>
        <w:pStyle w:val="BodyText"/>
      </w:pPr>
      <w:r>
        <w:rPr>
          <w:b/>
          <w:bCs/>
        </w:rPr>
        <w:t xml:space="preserve">Duomenys.</w:t>
      </w:r>
      <w:r>
        <w:t xml:space="preserve"> </w:t>
      </w:r>
      <w:r>
        <w:t xml:space="preserve">19 435 pacientai iš 36 šalių, atsitiktinai suskirstyti 2 × 3 faktoriniu dizainu (aspirinas taip / ne; heparinas vidutine, maža doze arba be jo).</w:t>
      </w:r>
    </w:p>
    <w:p>
      <w:pPr>
        <w:pStyle w:val="BodyText"/>
      </w:pPr>
      <w:r>
        <w:rPr>
          <w:b/>
          <w:bCs/>
        </w:rPr>
        <w:t xml:space="preserve">Pagrindiniai rezultatai.</w:t>
      </w:r>
    </w:p>
    <w:p>
      <w:pPr>
        <w:pStyle w:val="Compact"/>
        <w:numPr>
          <w:ilvl w:val="0"/>
          <w:numId w:val="1001"/>
        </w:numPr>
      </w:pPr>
      <w:r>
        <w:t xml:space="preserve">Po 6 mėnesių mirė arba buvo priklausomi 62,2 % aspirino grupės ir 63,5 % kontrolinės grupės pacientų (1,3 procentinio punkto mažiau, p = 0,075). Įvertinus pradinę prognozę, skirtumas statistiškai reikšmingas (žr. 3 lentelę).</w:t>
      </w:r>
    </w:p>
    <w:p>
      <w:pPr>
        <w:pStyle w:val="Compact"/>
        <w:numPr>
          <w:ilvl w:val="0"/>
          <w:numId w:val="1001"/>
        </w:numPr>
      </w:pPr>
      <w:r>
        <w:t xml:space="preserve">Aspirinas maždaug 37 % sumažino pakartotinių išeminių insultų per 14 dienų dažnį (1,6 % ir 2,5 %), reikšmingai nedidindamas hemoraginių insultų.</w:t>
      </w:r>
    </w:p>
    <w:p>
      <w:pPr>
        <w:pStyle w:val="Compact"/>
        <w:numPr>
          <w:ilvl w:val="0"/>
          <w:numId w:val="1001"/>
        </w:numPr>
      </w:pPr>
      <w:r>
        <w:t xml:space="preserve">Heparinas sumažino pakartotinių išeminių insultų (1,8 % ir 2,3 %), bet panašiu mastu padidino hemoraginių insultų dažnį (1,2 % ir 0,4 %), todėl bendros naudos neturėjo.</w:t>
      </w:r>
    </w:p>
    <w:p>
      <w:pPr>
        <w:pStyle w:val="FirstParagraph"/>
      </w:pPr>
      <w:r>
        <w:rPr>
          <w:b/>
          <w:bCs/>
        </w:rPr>
        <w:t xml:space="preserve">Išvada.</w:t>
      </w:r>
      <w:r>
        <w:t xml:space="preserve"> </w:t>
      </w:r>
      <w:r>
        <w:t xml:space="preserve">Aspirinas ūminiu išeminio insulto laikotarpiu duoda nedidelę, bet realią naudą; heparino nauda atsveriama kraujavimo rizikos. Rezultatai sutampa su paskelbtais pirminio tyrimo duomenimis.</w:t>
      </w:r>
    </w:p>
    <w:bookmarkEnd w:id="20"/>
    <w:bookmarkStart w:id="24" w:name="duomenys-ir-metodai"/>
    <w:p>
      <w:pPr>
        <w:pStyle w:val="Heading1"/>
      </w:pPr>
      <w:r>
        <w:t xml:space="preserve">1. Duomenys ir metodai</w:t>
      </w:r>
    </w:p>
    <w:bookmarkStart w:id="21" w:name="duomenų-šaltinis"/>
    <w:p>
      <w:pPr>
        <w:pStyle w:val="Heading2"/>
      </w:pPr>
      <w:r>
        <w:t xml:space="preserve">1.1 Duomenų šaltinis</w:t>
      </w:r>
    </w:p>
    <w:p>
      <w:pPr>
        <w:pStyle w:val="FirstParagraph"/>
      </w:pPr>
      <w:r>
        <w:t xml:space="preserve">Analizuoti viešai prieinami Tarptautinio insulto tyrimo (</w:t>
      </w:r>
      <w:r>
        <w:rPr>
          <w:i/>
          <w:iCs/>
        </w:rPr>
        <w:t xml:space="preserve">International Stroke Trial</w:t>
      </w:r>
      <w:r>
        <w:t xml:space="preserve">, IST-1) duomenys</w:t>
      </w:r>
      <w:r>
        <w:t xml:space="preserve"> </w:t>
      </w:r>
      <w:r>
        <w:t xml:space="preserve">(Sandercock ir kt. 2011a, 2011b)</w:t>
      </w:r>
      <w:r>
        <w:t xml:space="preserve">. Tai atsitiktinių imčių, atvirasis tyrimas, kuriame 1991–1996 m. dalyvavo 19 435 pacientai, gydyti 466 ligoninėse 36 šalyse</w:t>
      </w:r>
      <w:r>
        <w:t xml:space="preserve"> </w:t>
      </w:r>
      <w:r>
        <w:t xml:space="preserve">(International Stroke Trial Collaborative Group 1997)</w:t>
      </w:r>
      <w:r>
        <w:t xml:space="preserve">. Naudota pataisyta duomenų rinkinio versija (2 versija), kurioje ištaisytos įvykių datų klaidos, atsiradusios anonimizuojant pirminį failą.</w:t>
      </w:r>
    </w:p>
    <w:p>
      <w:pPr>
        <w:pStyle w:val="BodyText"/>
      </w:pPr>
      <w:r>
        <w:t xml:space="preserve">Pacientai per 48 valandas nuo insulto pradžios buvo atsitiktinai paskirti į 14 dienų gydymą aspirinu (300 mg per parą) arba be jo ir, nepriklausomai nuo to, į gydymą poodiniu heparinu vidutine (12 500 TV du kartus per parą) arba maža (5 000 TV du kartus per parą) doze, arba be heparino.</w:t>
      </w:r>
    </w:p>
    <w:bookmarkEnd w:id="21"/>
    <w:bookmarkStart w:id="22" w:name="baigtys"/>
    <w:p>
      <w:pPr>
        <w:pStyle w:val="Heading2"/>
      </w:pPr>
      <w:r>
        <w:t xml:space="preserve">1.2 Baigtys</w:t>
      </w:r>
    </w:p>
    <w:p>
      <w:pPr>
        <w:pStyle w:val="Compact"/>
        <w:numPr>
          <w:ilvl w:val="0"/>
          <w:numId w:val="1002"/>
        </w:numPr>
      </w:pPr>
      <w:r>
        <w:rPr>
          <w:b/>
          <w:bCs/>
        </w:rPr>
        <w:t xml:space="preserve">Mirtis per 14 dienų</w:t>
      </w:r>
      <w:r>
        <w:t xml:space="preserve"> </w:t>
      </w:r>
      <w:r>
        <w:t xml:space="preserve">nuo atsitiktinio suskirstymo.</w:t>
      </w:r>
    </w:p>
    <w:p>
      <w:pPr>
        <w:pStyle w:val="Compact"/>
        <w:numPr>
          <w:ilvl w:val="0"/>
          <w:numId w:val="1002"/>
        </w:numPr>
      </w:pPr>
      <w:r>
        <w:rPr>
          <w:b/>
          <w:bCs/>
        </w:rPr>
        <w:t xml:space="preserve">Mirtis arba priklausomybė po 6 mėnesių</w:t>
      </w:r>
      <w:r>
        <w:t xml:space="preserve"> </w:t>
      </w:r>
      <w:r>
        <w:t xml:space="preserve">(pirminė baigtis): pacientas miręs arba kasdienėje veikloje priklausomas nuo kitų žmonių. 150 pacientams (0,8 %) šios baigties duomenų nėra; jie į šią analizę neįtraukti.</w:t>
      </w:r>
    </w:p>
    <w:p>
      <w:pPr>
        <w:pStyle w:val="Compact"/>
        <w:numPr>
          <w:ilvl w:val="0"/>
          <w:numId w:val="1002"/>
        </w:numPr>
      </w:pPr>
      <w:r>
        <w:rPr>
          <w:b/>
          <w:bCs/>
        </w:rPr>
        <w:t xml:space="preserve">Pakartotinis išeminis</w:t>
      </w:r>
      <w:r>
        <w:t xml:space="preserve"> </w:t>
      </w:r>
      <w:r>
        <w:t xml:space="preserve">ir</w:t>
      </w:r>
      <w:r>
        <w:t xml:space="preserve"> </w:t>
      </w:r>
      <w:r>
        <w:rPr>
          <w:b/>
          <w:bCs/>
        </w:rPr>
        <w:t xml:space="preserve">hemoraginis insultas</w:t>
      </w:r>
      <w:r>
        <w:t xml:space="preserve"> </w:t>
      </w:r>
      <w:r>
        <w:t xml:space="preserve">per 14 dienų.</w:t>
      </w:r>
    </w:p>
    <w:p>
      <w:pPr>
        <w:pStyle w:val="Compact"/>
        <w:numPr>
          <w:ilvl w:val="0"/>
          <w:numId w:val="1002"/>
        </w:numPr>
      </w:pPr>
      <w:r>
        <w:rPr>
          <w:b/>
          <w:bCs/>
        </w:rPr>
        <w:t xml:space="preserve">Išgyvenamumas</w:t>
      </w:r>
      <w:r>
        <w:t xml:space="preserve"> </w:t>
      </w:r>
      <w:r>
        <w:t xml:space="preserve">per 6 mėnesius (183 dienas).</w:t>
      </w:r>
    </w:p>
    <w:bookmarkEnd w:id="22"/>
    <w:bookmarkStart w:id="23" w:name="statistinė-analizė"/>
    <w:p>
      <w:pPr>
        <w:pStyle w:val="Heading2"/>
      </w:pPr>
      <w:r>
        <w:t xml:space="preserve">1.3 Statistinė analizė</w:t>
      </w:r>
    </w:p>
    <w:p>
      <w:pPr>
        <w:pStyle w:val="FirstParagraph"/>
      </w:pPr>
      <w:r>
        <w:t xml:space="preserve">Visos analizės atliktos pagal ketinimo gydyti principą: pacientai analizuoti toje grupėje, į kurią buvo paskirti. Baigčių dažniai grupėse palyginti chi kvadrato testu; pateikiamas absoliutus rizikos skirtumas (ARS) su 95 % pasikliautinuoju intervalu (PI). Pirminei baigčiai įvertinti taikyta logistinė regresija, įtraukiant abu gydymo veiksnius ir prognozinius veiksnius: amžių, lytį, sąmonės būklę, sistolinį kraujospūdį, prieširdžių virpėjimą, insulto tipą ir delsą iki atsitiktinio suskirstymo. Rezultatai pateikiami šansų santykiais (ŠS). Išgyvenamumas pavaizduotas Kaplan–Meier kreivėmis ir palygintas log-rank testu. Aspirino poveikio vienodumas pogrupiuose vertintas sąveikos nariu logistinės regresijos modelyje. Statistinio reikšmingumo lygmuo α = 0,05. Analizė atlikta R 4.4.1 programa.</w:t>
      </w:r>
    </w:p>
    <w:bookmarkEnd w:id="23"/>
    <w:bookmarkEnd w:id="24"/>
    <w:bookmarkStart w:id="35" w:name="rezultatai"/>
    <w:p>
      <w:pPr>
        <w:pStyle w:val="Heading1"/>
      </w:pPr>
      <w:r>
        <w:t xml:space="preserve">2. Rezultatai</w:t>
      </w:r>
    </w:p>
    <w:bookmarkStart w:id="25" w:name="imties-charakteristikos"/>
    <w:p>
      <w:pPr>
        <w:pStyle w:val="Heading2"/>
      </w:pPr>
      <w:r>
        <w:t xml:space="preserve">2.1 Imties charakteristikos</w:t>
      </w:r>
    </w:p>
    <w:p>
      <w:pPr>
        <w:pStyle w:val="FirstParagraph"/>
      </w:pPr>
      <w:r>
        <w:t xml:space="preserve">Grupės pagal pradines charakteristikas buvo panašios (1 lentelė), kaip ir tikimasi atsitiktinių imčių tyrime. Pacientų amžiaus mediana – 73 metai, 46,5 % buvo moterys.</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autofit"/>
        <w:jc w:val="start"/>
        <w:tblW w:type="pct" w:w="0"/>
        <w:tblLook w:firstRow="1" w:lastRow="0" w:firstColumn="0" w:lastColumn="0" w:noHBand="0" w:noVBand="1"/>
      </w:tblPr>
      <w:tr>
        <w:trPr>
          <w:trHeight w:val="402" w:hRule="auto"/>
          <w:tblHeader/>
        </w:trPr>
        header 1
        <w:tc>
          <w:tcPr>
            <w:gridSpan w:val="4"/>
            <w:tcBorders>
              <w:bottom w:val="none" w:sz="0" w:space="0" w:color="666666"/>
              <w:top w:val="none" w:sz="0"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true"/>
                <w:u w:val="none"/>
                <w:strike w:val="false"/>
                <w:sz w:val="22"/>
                <w:szCs w:val="22"/>
                <w:color w:val="000000"/>
              </w:rPr>
              <w:t xml:space="preserve">1 lentelė</w:t>
            </w:r>
          </w:p>
        </w:tc>
      </w:tr>
      <w:tr>
        <w:trPr>
          <w:trHeight w:val="451" w:hRule="auto"/>
          <w:tblHeader/>
        </w:trPr>
        header 2
        <w:tc>
          <w:tcPr>
            <w:gridSpan w:val="4"/>
            <w:tcBorders>
              <w:bottom w:val="single" w:sz="8" w:space="0" w:color="000000"/>
              <w:top w:val="none" w:sz="0"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true"/>
                <w:b w:val="false"/>
                <w:u w:val="none"/>
                <w:strike w:val="false"/>
                <w:sz w:val="22"/>
                <w:szCs w:val="22"/>
                <w:color w:val="000000"/>
              </w:rPr>
              <w:t xml:space="preserve">Pacientų charakteristikos atsitiktinio suskirstymo metu</w:t>
            </w:r>
          </w:p>
        </w:tc>
      </w:tr>
      <w:tr>
        <w:trPr>
          <w:trHeight w:val="602" w:hRule="auto"/>
          <w:tblHeader/>
        </w:trPr>
        header 3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Rodiklis</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Aspirinas  </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 = 9 720</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vertAlign w:val="superscript"/>
                <w:sz w:val="22"/>
                <w:szCs w:val="22"/>
                <w:color w:val="000000"/>
              </w:rPr>
              <w:t xml:space="preserve">1</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Be aspirino  </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 = 9 715</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vertAlign w:val="superscript"/>
                <w:sz w:val="22"/>
                <w:szCs w:val="22"/>
                <w:color w:val="000000"/>
              </w:rPr>
              <w:t xml:space="preserve">1</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Iš viso  </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 = 19 435</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vertAlign w:val="superscript"/>
                <w:sz w:val="22"/>
                <w:szCs w:val="22"/>
                <w:color w:val="000000"/>
              </w:rPr>
              <w:t xml:space="preserve">1</w:t>
            </w:r>
          </w:p>
        </w:tc>
      </w:tr>
      <w:tr>
        <w:trPr>
          <w:trHeight w:val="450" w:hRule="auto"/>
        </w:trPr>
        body 1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Amžius, metai</w:t>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73 (65–80)</w:t>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73 (65–80)</w:t>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73 (65–80)</w:t>
            </w:r>
          </w:p>
        </w:tc>
      </w:tr>
      <w:tr>
        <w:trPr>
          <w:trHeight w:val="451" w:hRule="auto"/>
        </w:trPr>
        body 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Lytis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50" w:hRule="auto"/>
        </w:trPr>
        body 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Vyras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5 153 (53 %)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5 254 (54 %)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10 407 (54 %)</w:t>
            </w:r>
          </w:p>
        </w:tc>
      </w:tr>
      <w:tr>
        <w:trPr>
          <w:trHeight w:val="450" w:hRule="auto"/>
        </w:trPr>
        body 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Moteris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4 567 (47 %)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4 461 (46 %)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9 028 (46 %)</w:t>
            </w:r>
          </w:p>
        </w:tc>
      </w:tr>
      <w:tr>
        <w:trPr>
          <w:trHeight w:val="451" w:hRule="auto"/>
        </w:trPr>
        body 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Delsa iki suskirstymo, val.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19 (9–29)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19 (9–29)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19 (9–29)</w:t>
            </w:r>
          </w:p>
        </w:tc>
      </w:tr>
      <w:tr>
        <w:trPr>
          <w:trHeight w:val="450" w:hRule="auto"/>
        </w:trPr>
        body 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Sąmonės būklė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50" w:hRule="auto"/>
        </w:trPr>
        body 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Visiškai budrus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7 463 (77 %)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7 458 (77 %)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14 921 (77 %)</w:t>
            </w:r>
          </w:p>
        </w:tc>
      </w:tr>
      <w:tr>
        <w:trPr>
          <w:trHeight w:val="451" w:hRule="auto"/>
        </w:trPr>
        body 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Mieguistas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2 127 (22 %)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2 127 (22 %)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4 254 (22 %)</w:t>
            </w:r>
          </w:p>
        </w:tc>
      </w:tr>
      <w:tr>
        <w:trPr>
          <w:trHeight w:val="450" w:hRule="auto"/>
        </w:trPr>
        body 9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Be sąmonės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130 (1,3 %)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130 (1,3 %)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260 (1,3 %)</w:t>
            </w:r>
          </w:p>
        </w:tc>
      </w:tr>
      <w:tr>
        <w:trPr>
          <w:trHeight w:val="451" w:hRule="auto"/>
        </w:trPr>
        body10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Sistolinis kraujospūdis, mmHg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160 (140–180)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160 (140–180)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160 (140–180)</w:t>
            </w:r>
          </w:p>
        </w:tc>
      </w:tr>
      <w:tr>
        <w:trPr>
          <w:trHeight w:val="451" w:hRule="auto"/>
        </w:trPr>
        body11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Prieširdžių virpėjimas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50" w:hRule="auto"/>
        </w:trPr>
        body12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Taip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1 622 (18 %)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1 547 (17 %)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3 169 (17 %)</w:t>
            </w:r>
          </w:p>
        </w:tc>
      </w:tr>
      <w:tr>
        <w:trPr>
          <w:trHeight w:val="450" w:hRule="auto"/>
        </w:trPr>
        body13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7 605 (82 %)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7 677 (83 %)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15 282 (83 %)</w:t>
            </w:r>
          </w:p>
        </w:tc>
      </w:tr>
      <w:tr>
        <w:trPr>
          <w:trHeight w:val="450" w:hRule="auto"/>
        </w:trPr>
        body14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Nėra duomenų</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493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491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984</w:t>
            </w:r>
          </w:p>
        </w:tc>
      </w:tr>
      <w:tr>
        <w:trPr>
          <w:trHeight w:val="450" w:hRule="auto"/>
        </w:trPr>
        body15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Insulto tipas (OCSP)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50" w:hRule="auto"/>
        </w:trPr>
        body16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TACS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2 327 (24 %)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2 311 (24 %)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4 638 (24 %)</w:t>
            </w:r>
          </w:p>
        </w:tc>
      </w:tr>
      <w:tr>
        <w:trPr>
          <w:trHeight w:val="450" w:hRule="auto"/>
        </w:trPr>
        body17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PACS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3 920 (40 %)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3 935 (41 %)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7 855 (40 %)</w:t>
            </w:r>
          </w:p>
        </w:tc>
      </w:tr>
      <w:tr>
        <w:trPr>
          <w:trHeight w:val="450" w:hRule="auto"/>
        </w:trPr>
        body18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POCS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1 121 (12 %)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1 107 (11 %)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2 228 (11 %)</w:t>
            </w:r>
          </w:p>
        </w:tc>
      </w:tr>
      <w:tr>
        <w:trPr>
          <w:trHeight w:val="450" w:hRule="auto"/>
        </w:trPr>
        body19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LACS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2 326 (24 %)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2 331 (24 %)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4 657 (24 %)</w:t>
            </w:r>
          </w:p>
        </w:tc>
      </w:tr>
      <w:tr>
        <w:trPr>
          <w:trHeight w:val="450" w:hRule="auto"/>
        </w:trPr>
        body20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Kitas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26 (0,3 %)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31 (0,3 %)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57 (0,3 %)</w:t>
            </w:r>
          </w:p>
        </w:tc>
      </w:tr>
      <w:tr>
        <w:trPr>
          <w:trHeight w:val="406" w:hRule="auto"/>
        </w:trPr>
        body21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Infarktas matomas KT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50" w:hRule="auto"/>
        </w:trPr>
        body22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Taip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3 176 (33 %)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3 239 (33 %)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6 415 (33 %)</w:t>
            </w:r>
          </w:p>
        </w:tc>
      </w:tr>
      <w:tr>
        <w:trPr>
          <w:trHeight w:val="450" w:hRule="auto"/>
        </w:trPr>
        body23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Ne</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6 544 (67 %)</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6 476 (67 %)</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13 020 (67 %)</w:t>
            </w:r>
          </w:p>
        </w:tc>
      </w:tr>
      <w:tr>
        <w:trPr>
          <w:trHeight w:val="360" w:hRule="auto"/>
        </w:trPr>
        footer 1
        <w:tc>
          <w:tcPr>
            <w:gridSpan w:val="4"/>
            <w:tcBorders>
              <w:bottom w:val="none" w:sz="0"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0"/>
                <w:szCs w:val="20"/>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vertAlign w:val="superscript"/>
                <w:sz w:val="20"/>
                <w:szCs w:val="20"/>
                <w:color w:val="000000"/>
              </w:rPr>
              <w:t xml:space="preserve">1</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0"/>
                <w:szCs w:val="20"/>
                <w:color w:val="000000"/>
              </w:rPr>
              <w:t xml:space="preserve">Mediana (Q1–Q3); n (%)</w:t>
            </w:r>
          </w:p>
        </w:tc>
      </w:tr>
      <w:tr>
        <w:trPr>
          <w:trHeight w:val="360" w:hRule="auto"/>
        </w:trPr>
        footer 2
        <w:tc>
          <w:tcPr>
            <w:gridSpan w:val="4"/>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0"/>
                <w:szCs w:val="20"/>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true"/>
                <w:b w:val="false"/>
                <w:u w:val="none"/>
                <w:strike w:val="false"/>
                <w:sz w:val="20"/>
                <w:szCs w:val="20"/>
                <w:color w:val="000000"/>
              </w:rPr>
              <w:t xml:space="preserve">Pastaba.</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0"/>
                <w:szCs w:val="20"/>
                <w:color w:val="000000"/>
              </w:rPr>
              <w:t xml:space="preserve"> </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0"/>
                <w:szCs w:val="20"/>
                <w:color w:val="000000"/>
              </w:rPr>
              <w:t xml:space="preserve">Prieširdžių virpėjimas nebuvo registruojamas bandomajame tyrimo etape. OCSP – Oksfordšyro insultų klasifikacija: TACS – totalinis, PACS – dalinis priekinės kraujotakos infarktas, POCS – užpakalinės kraujotakos, LACS – lakūninis infarktas.</w:t>
            </w:r>
          </w:p>
        </w:tc>
      </w:tr>
    </w:tbl>
    <w:bookmarkEnd w:id="25"/>
    <w:bookmarkStart w:id="29" w:name="aspirino-poveikis"/>
    <w:p>
      <w:pPr>
        <w:pStyle w:val="Heading2"/>
      </w:pPr>
      <w:r>
        <w:t xml:space="preserve">2.2 Aspirino poveikis</w:t>
      </w:r>
    </w:p>
    <w:p>
      <w:pPr>
        <w:pStyle w:val="FirstParagraph"/>
      </w:pPr>
      <w:r>
        <w:t xml:space="preserve">Aspirinas mirtingumą per 14 dienų sumažino nedaug ir statistiškai nereikšmingai, tačiau reikšmingai sumažino pakartotinių išeminių insultų dažnį (2 lentelė). Hemoraginių insultų dažnis grupėse beveik nesiskyrė.</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autofit"/>
        <w:jc w:val="start"/>
        <w:tblW w:type="pct" w:w="0"/>
        <w:tblLook w:firstRow="1" w:lastRow="0" w:firstColumn="0" w:lastColumn="0" w:noHBand="0" w:noVBand="1"/>
      </w:tblPr>
      <w:tr>
        <w:trPr>
          <w:trHeight w:val="402" w:hRule="auto"/>
          <w:tblHeader/>
        </w:trPr>
        header1
        <w:tc>
          <w:tcPr>
            <w:gridSpan w:val="5"/>
            <w:tcBorders>
              <w:bottom w:val="none" w:sz="0" w:space="0" w:color="666666"/>
              <w:top w:val="none" w:sz="0"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true"/>
                <w:u w:val="none"/>
                <w:strike w:val="false"/>
                <w:sz w:val="22"/>
                <w:szCs w:val="22"/>
                <w:color w:val="000000"/>
              </w:rPr>
              <w:t xml:space="preserve">2 lentelė</w:t>
            </w:r>
          </w:p>
        </w:tc>
      </w:tr>
      <w:tr>
        <w:trPr>
          <w:trHeight w:val="451" w:hRule="auto"/>
          <w:tblHeader/>
        </w:trPr>
        header2
        <w:tc>
          <w:tcPr>
            <w:gridSpan w:val="5"/>
            <w:tcBorders>
              <w:bottom w:val="single" w:sz="8" w:space="0" w:color="000000"/>
              <w:top w:val="none" w:sz="0"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true"/>
                <w:b w:val="false"/>
                <w:u w:val="none"/>
                <w:strike w:val="false"/>
                <w:sz w:val="22"/>
                <w:szCs w:val="22"/>
                <w:color w:val="000000"/>
              </w:rPr>
              <w:t xml:space="preserve">Baigtys pagal paskirtą gydymą aspirinu, n (%)</w:t>
            </w:r>
          </w:p>
        </w:tc>
      </w:tr>
      <w:tr>
        <w:trPr>
          <w:trHeight w:val="602" w:hRule="auto"/>
          <w:tblHeader/>
        </w:trPr>
        header3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Baigtis</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Aspirinas</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 = 9 720</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Be aspirino</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 = 9 715</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ARS, proc. p. (95 % PI)</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p reikšmė</w:t>
            </w:r>
          </w:p>
        </w:tc>
      </w:tr>
      <w:tr>
        <w:trPr>
          <w:trHeight w:val="450" w:hRule="auto"/>
        </w:trPr>
        body1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Mirtis per 14 dienų</w:t>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872 (9,0 %)</w:t>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909 (9,4 %)</w:t>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−0,4 (−1,2; 0,4)</w:t>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0,365</w:t>
            </w:r>
          </w:p>
        </w:tc>
      </w:tr>
      <w:tr>
        <w:trPr>
          <w:trHeight w:val="451" w:hRule="auto"/>
        </w:trPr>
        body2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Mirtis arba priklausomybė po 6 mėn.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6 000 (62,2 %)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6 125 (63,5 %)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−1,3 (−2,6; 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0,075</w:t>
            </w:r>
          </w:p>
        </w:tc>
      </w:tr>
      <w:tr>
        <w:trPr>
          <w:trHeight w:val="450" w:hRule="auto"/>
        </w:trPr>
        body3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Pakartotinis išeminis insultas per 14 dienų</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153 (1,6 %)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242 (2,5 %)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−0,9 (−1,3; −0,5)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&lt; 0,001</w:t>
            </w:r>
          </w:p>
        </w:tc>
      </w:tr>
      <w:tr>
        <w:trPr>
          <w:trHeight w:val="451" w:hRule="auto"/>
        </w:trPr>
        body4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Hemoraginis insultas per 14 dienų</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87 (0,9 %)</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74 (0,8 %)</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0,1 (−0,1; 0,4)</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0,344</w:t>
            </w:r>
          </w:p>
        </w:tc>
      </w:tr>
      <w:tr>
        <w:trPr>
          <w:trHeight w:val="360" w:hRule="auto"/>
        </w:trPr>
        footer1
        <w:tc>
          <w:tcPr>
            <w:gridSpan w:val="5"/>
            <w:tcBorders>
              <w:bottom w:val="none" w:sz="0" w:space="0" w:color="FFFFFF"/>
              <w:top w:val="single" w:sz="8"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true"/>
                <w:b w:val="false"/>
                <w:u w:val="none"/>
                <w:strike w:val="false"/>
                <w:sz w:val="20"/>
                <w:szCs w:val="20"/>
                <w:color w:val="000000"/>
              </w:rPr>
              <w:t xml:space="preserve">Pastaba.</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0"/>
                <w:szCs w:val="20"/>
                <w:color w:val="000000"/>
              </w:rPr>
              <w:t xml:space="preserve"> </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0"/>
                <w:szCs w:val="20"/>
                <w:color w:val="000000"/>
              </w:rPr>
              <w:t xml:space="preserve">Procentai apskaičiuoti iš pacientų, kurių baigtis žinoma (6 mėn. baigties nėra 150 pacientams). ARS – absoliutus rizikos skirtumas (aspirinas minus be aspirino) procentiniais punktais; neigiama reikšmė reiškia mažesnę riziką aspirino grupėje. PI apskaičiuoti Wald metodu.</w:t>
            </w:r>
          </w:p>
        </w:tc>
      </w:tr>
    </w:tbl>
    <w:p>
      <w:pPr>
        <w:pStyle w:val="BodyText"/>
      </w:pPr>
      <w:r>
        <w:t xml:space="preserve">Įvertinus pradinę paciento prognozę, aspirino grupėje mirties ar priklausomybės po 6 mėnesių šansai buvo mažesni (ŠS 0,92, 95 % PI 0,87–0,99, p = 0,019; 3 lentelė). Stipriausi prognoziniai veiksniai buvo amžius, sąmonės būklė ir insulto tipas. Aspirino ir heparino poveikiai vienas nuo kito nepriklausė (sąveikos p = 0,114).</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autofit"/>
        <w:jc w:val="start"/>
        <w:tblW w:type="pct" w:w="0"/>
        <w:tblLook w:firstRow="1" w:lastRow="0" w:firstColumn="0" w:lastColumn="0" w:noHBand="0" w:noVBand="1"/>
      </w:tblPr>
      <w:tr>
        <w:trPr>
          <w:trHeight w:val="402" w:hRule="auto"/>
          <w:tblHeader/>
        </w:trPr>
        header 1
        <w:tc>
          <w:tcPr>
            <w:gridSpan w:val="4"/>
            <w:tcBorders>
              <w:bottom w:val="none" w:sz="0" w:space="0" w:color="666666"/>
              <w:top w:val="none" w:sz="0"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true"/>
                <w:u w:val="none"/>
                <w:strike w:val="false"/>
                <w:sz w:val="22"/>
                <w:szCs w:val="22"/>
                <w:color w:val="000000"/>
              </w:rPr>
              <w:t xml:space="preserve">3 lentelė</w:t>
            </w:r>
          </w:p>
        </w:tc>
      </w:tr>
      <w:tr>
        <w:trPr>
          <w:trHeight w:val="451" w:hRule="auto"/>
          <w:tblHeader/>
        </w:trPr>
        header 2
        <w:tc>
          <w:tcPr>
            <w:gridSpan w:val="4"/>
            <w:tcBorders>
              <w:bottom w:val="single" w:sz="8" w:space="0" w:color="000000"/>
              <w:top w:val="none" w:sz="0"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true"/>
                <w:b w:val="false"/>
                <w:u w:val="none"/>
                <w:strike w:val="false"/>
                <w:sz w:val="22"/>
                <w:szCs w:val="22"/>
                <w:color w:val="000000"/>
              </w:rPr>
              <w:t xml:space="preserve">Mirties arba priklausomybės po 6 mėnesių veiksniai (logistinė regresija)</w:t>
            </w:r>
          </w:p>
        </w:tc>
      </w:tr>
      <w:tr>
        <w:trPr>
          <w:trHeight w:val="450" w:hRule="auto"/>
          <w:tblHeader/>
        </w:trPr>
        header 3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Rodiklis</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ŠS</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95 % PI</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p reikšmė</w:t>
            </w:r>
          </w:p>
        </w:tc>
      </w:tr>
      <w:tr>
        <w:trPr>
          <w:trHeight w:val="450" w:hRule="auto"/>
        </w:trPr>
        body 1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Aspirinas</w:t>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50" w:hRule="auto"/>
        </w:trPr>
        body 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Be aspirino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50" w:hRule="auto"/>
        </w:trPr>
        body 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Aspirinas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0,87–0,99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0,019</w:t>
            </w:r>
          </w:p>
        </w:tc>
      </w:tr>
      <w:tr>
        <w:trPr>
          <w:trHeight w:val="450" w:hRule="auto"/>
        </w:trPr>
        body 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Heparinas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399" w:hRule="auto"/>
        </w:trPr>
        body 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50" w:hRule="auto"/>
        </w:trPr>
        body 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Taip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0,93–1,06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0,916</w:t>
            </w:r>
          </w:p>
        </w:tc>
      </w:tr>
      <w:tr>
        <w:trPr>
          <w:trHeight w:val="440" w:hRule="auto"/>
        </w:trPr>
        body 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Amžius, metai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1,05–1,05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&lt; 0,001</w:t>
            </w:r>
          </w:p>
        </w:tc>
      </w:tr>
      <w:tr>
        <w:trPr>
          <w:trHeight w:val="451" w:hRule="auto"/>
        </w:trPr>
        body 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Lytis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44" w:hRule="auto"/>
        </w:trPr>
        body 9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Vyras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36" w:hRule="auto"/>
        </w:trPr>
        body10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Moteris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1,27–1,45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&lt; 0,001</w:t>
            </w:r>
          </w:p>
        </w:tc>
      </w:tr>
      <w:tr>
        <w:trPr>
          <w:trHeight w:val="450" w:hRule="auto"/>
        </w:trPr>
        body11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Sąmonės būklė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07" w:hRule="auto"/>
        </w:trPr>
        body12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Visiškai budrus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51" w:hRule="auto"/>
        </w:trPr>
        body13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Mieguistas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3,82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3,43–4,26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&lt; 0,001</w:t>
            </w:r>
          </w:p>
        </w:tc>
      </w:tr>
      <w:tr>
        <w:trPr>
          <w:trHeight w:val="442" w:hRule="auto"/>
        </w:trPr>
        body14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Be sąmonės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29,4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14,1–75,3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&lt; 0,001</w:t>
            </w:r>
          </w:p>
        </w:tc>
      </w:tr>
      <w:tr>
        <w:trPr>
          <w:trHeight w:val="451" w:hRule="auto"/>
        </w:trPr>
        body15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Sistolinis kraujospūdis, mmHg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1,00–1,00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0,036</w:t>
            </w:r>
          </w:p>
        </w:tc>
      </w:tr>
      <w:tr>
        <w:trPr>
          <w:trHeight w:val="451" w:hRule="auto"/>
        </w:trPr>
        body16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Prieširdžių virpėjimas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50" w:hRule="auto"/>
        </w:trPr>
        body17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Taip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36" w:hRule="auto"/>
        </w:trPr>
        body18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0,66–0,81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&lt; 0,001</w:t>
            </w:r>
          </w:p>
        </w:tc>
      </w:tr>
      <w:tr>
        <w:trPr>
          <w:trHeight w:val="450" w:hRule="auto"/>
        </w:trPr>
        body19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Nėra duomenų</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0,64–0,91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0,002</w:t>
            </w:r>
          </w:p>
        </w:tc>
      </w:tr>
      <w:tr>
        <w:trPr>
          <w:trHeight w:val="450" w:hRule="auto"/>
        </w:trPr>
        body20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Insulto tipas (OCSP)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03" w:hRule="auto"/>
        </w:trPr>
        body21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TACS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
            </w:r>
          </w:p>
        </w:tc>
      </w:tr>
      <w:tr>
        <w:trPr>
          <w:trHeight w:val="436" w:hRule="auto"/>
        </w:trPr>
        body22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PACS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0,30–0,37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&lt; 0,001</w:t>
            </w:r>
          </w:p>
        </w:tc>
      </w:tr>
      <w:tr>
        <w:trPr>
          <w:trHeight w:val="436" w:hRule="auto"/>
        </w:trPr>
        body23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POCS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0,20–0,26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&lt; 0,001</w:t>
            </w:r>
          </w:p>
        </w:tc>
      </w:tr>
      <w:tr>
        <w:trPr>
          <w:trHeight w:val="436" w:hRule="auto"/>
        </w:trPr>
        body24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LACS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0,26–0,32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&lt; 0,001</w:t>
            </w:r>
          </w:p>
        </w:tc>
      </w:tr>
      <w:tr>
        <w:trPr>
          <w:trHeight w:val="436" w:hRule="auto"/>
        </w:trPr>
        body25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3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Kitas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0,09–0,31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&lt; 0,001</w:t>
            </w:r>
          </w:p>
        </w:tc>
      </w:tr>
      <w:tr>
        <w:trPr>
          <w:trHeight w:val="451" w:hRule="auto"/>
        </w:trPr>
        body26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Delsa iki suskirstymo, val.</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1,00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1,00–1,00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0,898</w:t>
            </w:r>
          </w:p>
        </w:tc>
      </w:tr>
      <w:tr>
        <w:trPr>
          <w:trHeight w:val="360" w:hRule="auto"/>
        </w:trPr>
        footer 1
        <w:tc>
          <w:tcPr>
            <w:gridSpan w:val="4"/>
            <w:tcBorders>
              <w:bottom w:val="none" w:sz="0"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0"/>
                <w:szCs w:val="20"/>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0"/>
                <w:szCs w:val="20"/>
                <w:color w:val="000000"/>
              </w:rPr>
              <w:t xml:space="preserve">Santrumpos: PI = pasikliautinasis intervalas, ŠS = šansų santykis</w:t>
            </w:r>
          </w:p>
        </w:tc>
      </w:tr>
      <w:tr>
        <w:trPr>
          <w:trHeight w:val="360" w:hRule="auto"/>
        </w:trPr>
        footer 2
        <w:tc>
          <w:tcPr>
            <w:gridSpan w:val="4"/>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0"/>
                <w:szCs w:val="20"/>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true"/>
                <w:b w:val="false"/>
                <w:u w:val="none"/>
                <w:strike w:val="false"/>
                <w:sz w:val="20"/>
                <w:szCs w:val="20"/>
                <w:color w:val="000000"/>
              </w:rPr>
              <w:t xml:space="preserve">Pastaba.</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0"/>
                <w:szCs w:val="20"/>
                <w:color w:val="000000"/>
              </w:rPr>
              <w:t xml:space="preserve"> </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0"/>
                <w:szCs w:val="20"/>
                <w:color w:val="000000"/>
              </w:rPr>
              <w:t xml:space="preserve">Modelis apima 19 285 pacientus. Palyginimo kategorijos: be aspirino, be heparino, vyras, visiškai budrus, prieširdžių virpėjimas – taip, TACS.</w:t>
            </w:r>
          </w:p>
        </w:tc>
      </w:tr>
    </w:tbl>
    <w:p>
      <w:pPr>
        <w:pStyle w:val="BodyText"/>
      </w:pPr>
      <w:r>
        <w:t xml:space="preserve">Per 6 mėnesius mirė 21,5 % aspirino ir 22,5 % kontrolinės grupės pacientų (Kaplan–Meier įvertis; log-rank p = 0,115). Per pirmąsias dvi savaites kreivės beveik sutampa, vėliau aspirino grupės kreivė išlieka šiek tiek aukščiau (1 pav.), tačiau skirtumas statistiškai nereikšmingas.</w:t>
      </w:r>
    </w:p>
    <w:p>
      <w:pPr>
        <w:pStyle w:val="CaptionedFigure"/>
      </w:pPr>
      <w:r>
        <w:drawing>
          <wp:inline>
            <wp:extent cx="5334000" cy="3302000"/>
            <wp:effectExtent b="0" l="0" r="0" t="0"/>
            <wp:docPr descr="1 pav. Išgyvenamumas per 6 mėnesius pagal paskirtą gydymą aspirinu (Kaplan–Meier)" title="" id="27" name="Picture"/>
            <a:graphic>
              <a:graphicData uri="http://schemas.openxmlformats.org/drawingml/2006/picture">
                <pic:pic>
                  <pic:nvPicPr>
                    <pic:cNvPr descr="ist-1_files/figure-docx/pav-1-1.png" id="28" name="Picture"/>
                    <pic:cNvPicPr>
                      <a:picLocks noChangeArrowheads="1" noChangeAspect="1"/>
                    </pic:cNvPicPr>
                  </pic:nvPicPr>
                  <pic:blipFill>
                    <a:blip r:embed="rId26"/>
                    <a:stretch>
                      <a:fillRect/>
                    </a:stretch>
                  </pic:blipFill>
                  <pic:spPr bwMode="auto">
                    <a:xfrm>
                      <a:off x="0" y="0"/>
                      <a:ext cx="5334000" cy="3302000"/>
                    </a:xfrm>
                    <a:prstGeom prst="rect">
                      <a:avLst/>
                    </a:prstGeom>
                    <a:noFill/>
                    <a:ln w="9525">
                      <a:noFill/>
                      <a:headEnd/>
                      <a:tailEnd/>
                    </a:ln>
                  </pic:spPr>
                </pic:pic>
              </a:graphicData>
            </a:graphic>
          </wp:inline>
        </w:drawing>
      </w:r>
    </w:p>
    <w:p>
      <w:pPr>
        <w:pStyle w:val="ImageCaption"/>
      </w:pPr>
      <w:r>
        <w:t xml:space="preserve">1 pav. Išgyvenamumas per 6 mėnesius pagal paskirtą gydymą aspirinu (Kaplan–Meier)</w:t>
      </w:r>
    </w:p>
    <w:bookmarkEnd w:id="29"/>
    <w:bookmarkStart w:id="33" w:name="poveikis-pogrupiuose"/>
    <w:p>
      <w:pPr>
        <w:pStyle w:val="Heading2"/>
      </w:pPr>
      <w:r>
        <w:t xml:space="preserve">2.3 Poveikis pogrupiuose</w:t>
      </w:r>
    </w:p>
    <w:p>
      <w:pPr>
        <w:pStyle w:val="FirstParagraph"/>
      </w:pPr>
      <w:r>
        <w:t xml:space="preserve">Aspirino poveikis buvo panašus visuose iš anksto apibrėžtuose pogrupiuose: nė viena sąveika nebuvo statistiškai reikšminga (mažiausia sąveikos p reikšmė 0,317; 2 pav.). Tai reiškia, kad duomenys nerodo grupės, kuriai aspirinas būtų ypač naudingas ar žalingas.</w:t>
      </w:r>
    </w:p>
    <w:p>
      <w:pPr>
        <w:pStyle w:val="CaptionedFigure"/>
      </w:pPr>
      <w:r>
        <w:drawing>
          <wp:inline>
            <wp:extent cx="5334000" cy="6265333"/>
            <wp:effectExtent b="0" l="0" r="0" t="0"/>
            <wp:docPr descr="2 pav. Aspirino poveikis mirties arba priklausomybės po 6 mėnesių šansams pogrupiuose (nekoreguoti šansų santykiai)" title="" id="31" name="Picture"/>
            <a:graphic>
              <a:graphicData uri="http://schemas.openxmlformats.org/drawingml/2006/picture">
                <pic:pic>
                  <pic:nvPicPr>
                    <pic:cNvPr descr="ist-1_files/figure-docx/pav-2-1.png" id="32" name="Picture"/>
                    <pic:cNvPicPr>
                      <a:picLocks noChangeArrowheads="1" noChangeAspect="1"/>
                    </pic:cNvPicPr>
                  </pic:nvPicPr>
                  <pic:blipFill>
                    <a:blip r:embed="rId30"/>
                    <a:stretch>
                      <a:fillRect/>
                    </a:stretch>
                  </pic:blipFill>
                  <pic:spPr bwMode="auto">
                    <a:xfrm>
                      <a:off x="0" y="0"/>
                      <a:ext cx="5334000" cy="6265333"/>
                    </a:xfrm>
                    <a:prstGeom prst="rect">
                      <a:avLst/>
                    </a:prstGeom>
                    <a:noFill/>
                    <a:ln w="9525">
                      <a:noFill/>
                      <a:headEnd/>
                      <a:tailEnd/>
                    </a:ln>
                  </pic:spPr>
                </pic:pic>
              </a:graphicData>
            </a:graphic>
          </wp:inline>
        </w:drawing>
      </w:r>
    </w:p>
    <w:p>
      <w:pPr>
        <w:pStyle w:val="ImageCaption"/>
      </w:pPr>
      <w:r>
        <w:t xml:space="preserve">2 pav. Aspirino poveikis mirties arba priklausomybės po 6 mėnesių šansams pogrupiuose (nekoreguoti šansų santykiai)</w:t>
      </w:r>
    </w:p>
    <w:bookmarkEnd w:id="33"/>
    <w:bookmarkStart w:id="34" w:name="heparino-poveikis"/>
    <w:p>
      <w:pPr>
        <w:pStyle w:val="Heading2"/>
      </w:pPr>
      <w:r>
        <w:t xml:space="preserve">2.4 Heparino poveikis</w:t>
      </w:r>
    </w:p>
    <w:p>
      <w:pPr>
        <w:pStyle w:val="FirstParagraph"/>
      </w:pPr>
      <w:r>
        <w:t xml:space="preserve">Heparinas, nepriklausomai nuo dozės, mirtingumo ir priklausomybės po 6 mėnesių nesumažino (4 lentelė). Vidutinė dozė hemoraginių insultų dažnį padidino 4,1 karto, o pakartotinių išeminių insultų sumažėjimas šios rizikos neatsvėrė.</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autofit"/>
        <w:jc w:val="start"/>
        <w:tblW w:type="pct" w:w="0"/>
        <w:tblLook w:firstRow="1" w:lastRow="0" w:firstColumn="0" w:lastColumn="0" w:noHBand="0" w:noVBand="1"/>
      </w:tblPr>
      <w:tr>
        <w:trPr>
          <w:trHeight w:val="402" w:hRule="auto"/>
          <w:tblHeader/>
        </w:trPr>
        header1
        <w:tc>
          <w:tcPr>
            <w:gridSpan w:val="5"/>
            <w:tcBorders>
              <w:bottom w:val="none" w:sz="0" w:space="0" w:color="666666"/>
              <w:top w:val="none" w:sz="0"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true"/>
                <w:u w:val="none"/>
                <w:strike w:val="false"/>
                <w:sz w:val="22"/>
                <w:szCs w:val="22"/>
                <w:color w:val="000000"/>
              </w:rPr>
              <w:t xml:space="preserve">4 lentelė</w:t>
            </w:r>
          </w:p>
        </w:tc>
      </w:tr>
      <w:tr>
        <w:trPr>
          <w:trHeight w:val="451" w:hRule="auto"/>
          <w:tblHeader/>
        </w:trPr>
        header2
        <w:tc>
          <w:tcPr>
            <w:gridSpan w:val="5"/>
            <w:tcBorders>
              <w:bottom w:val="single" w:sz="8" w:space="0" w:color="000000"/>
              <w:top w:val="none" w:sz="0"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true"/>
                <w:b w:val="false"/>
                <w:u w:val="none"/>
                <w:strike w:val="false"/>
                <w:sz w:val="22"/>
                <w:szCs w:val="22"/>
                <w:color w:val="000000"/>
              </w:rPr>
              <w:t xml:space="preserve">Baigtys pagal paskirtą heparino dozę, n (%)</w:t>
            </w:r>
          </w:p>
        </w:tc>
      </w:tr>
      <w:tr>
        <w:trPr>
          <w:trHeight w:val="602" w:hRule="auto"/>
          <w:tblHeader/>
        </w:trPr>
        header3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Baigtis</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Be heparino</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 = 9 718</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Maža dozė</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 = 4 861</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Vidutinė dozė</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N = 4 856</w:t>
            </w:r>
          </w:p>
        </w:tc>
        <w:tc>
          <w:tcPr>
            <w:tcBorders>
              <w:bottom w:val="single" w:sz="4"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p reikšmė</w:t>
            </w:r>
          </w:p>
        </w:tc>
      </w:tr>
      <w:tr>
        <w:trPr>
          <w:trHeight w:val="450" w:hRule="auto"/>
        </w:trPr>
        body1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Mirtis per 14 dienų</w:t>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905 (9,3 %)</w:t>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424 (8,7 %)</w:t>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452 (9,3 %)</w:t>
            </w:r>
          </w:p>
        </w:tc>
        <w:tc>
          <w:tcPr>
            <w:tcBorders>
              <w:bottom w:val="none" w:sz="0" w:space="0" w:color="000000"/>
              <w:top w:val="single" w:sz="4"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0,468</w:t>
            </w:r>
          </w:p>
        </w:tc>
      </w:tr>
      <w:tr>
        <w:trPr>
          <w:trHeight w:val="451" w:hRule="auto"/>
        </w:trPr>
        body2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Mirtis arba priklausomybė po 6 mėn.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6 062 (62,9 %)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3 041 (63,1 %)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3 022 (62,6 %)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0,885</w:t>
            </w:r>
          </w:p>
        </w:tc>
      </w:tr>
      <w:tr>
        <w:trPr>
          <w:trHeight w:val="450" w:hRule="auto"/>
        </w:trPr>
        body3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Pakartotinis išeminis insultas per 14 dienų</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223 (2,3 %)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71 (1,5 %)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101 (2,1 %)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0,003</w:t>
            </w:r>
          </w:p>
        </w:tc>
      </w:tr>
      <w:tr>
        <w:trPr>
          <w:trHeight w:val="451" w:hRule="auto"/>
        </w:trPr>
        body4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Hemoraginis insultas per 14 dienų</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41 (0,4 %)</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35 (0,7 %)</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85 (1,8 %)</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Times New Roman" w:cs="Times New Roman"/>
                <w:i w:val="false"/>
                <w:b w:val="false"/>
                <w:u w:val="none"/>
                <w:strike w:val="false"/>
                <w:sz w:val="22"/>
                <w:szCs w:val="2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2"/>
                <w:szCs w:val="22"/>
                <w:color w:val="000000"/>
              </w:rPr>
              <w:t xml:space="preserve">&lt; 0,001</w:t>
            </w:r>
          </w:p>
        </w:tc>
      </w:tr>
      <w:tr>
        <w:trPr>
          <w:trHeight w:val="360" w:hRule="auto"/>
        </w:trPr>
        footer1
        <w:tc>
          <w:tcPr>
            <w:gridSpan w:val="5"/>
            <w:tcBorders>
              <w:bottom w:val="none" w:sz="0" w:space="0" w:color="FFFFFF"/>
              <w:top w:val="single" w:sz="8"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true"/>
                <w:b w:val="false"/>
                <w:u w:val="none"/>
                <w:strike w:val="false"/>
                <w:sz w:val="20"/>
                <w:szCs w:val="20"/>
                <w:color w:val="000000"/>
              </w:rPr>
              <w:t xml:space="preserve">Pastaba.</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0"/>
                <w:szCs w:val="20"/>
                <w:color w:val="000000"/>
              </w:rPr>
              <w:t xml:space="preserve"> </w:t>
            </w:r>
            <w:r xmlns:w="http://schemas.openxmlformats.org/wordprocessingml/2006/main" xmlns:wp="http://schemas.openxmlformats.org/drawingml/2006/wordprocessingDrawing" xmlns:r="http://schemas.openxmlformats.org/officeDocument/2006/relationships" xmlns:w14="http://schemas.microsoft.com/office/word/2010/wordml">
              <w:rPr>
                <w:rFonts w:ascii="Times New Roman" w:hAnsi="Times New Roman" w:eastAsia="Times New Roman" w:cs="Times New Roman"/>
                <w:i w:val="false"/>
                <w:b w:val="false"/>
                <w:u w:val="none"/>
                <w:strike w:val="false"/>
                <w:sz w:val="20"/>
                <w:szCs w:val="20"/>
                <w:color w:val="000000"/>
              </w:rPr>
              <w:t xml:space="preserve">Maža dozė – 5 000 TV, vidutinė – 12 500 TV poodiniu būdu du kartus per parą (bandomajame etape vidutinė dozė vadinta didele). p reikšmė – chi kvadrato testas tarp trijų grupių.</w:t>
            </w:r>
          </w:p>
        </w:tc>
      </w:tr>
    </w:tbl>
    <w:bookmarkEnd w:id="34"/>
    <w:bookmarkEnd w:id="35"/>
    <w:bookmarkStart w:id="36" w:name="išvados-ir-ribotumai"/>
    <w:p>
      <w:pPr>
        <w:pStyle w:val="Heading1"/>
      </w:pPr>
      <w:r>
        <w:t xml:space="preserve">3. Išvados ir ribotumai</w:t>
      </w:r>
    </w:p>
    <w:p>
      <w:pPr>
        <w:pStyle w:val="Compact"/>
        <w:numPr>
          <w:ilvl w:val="0"/>
          <w:numId w:val="1003"/>
        </w:numPr>
      </w:pPr>
      <w:r>
        <w:t xml:space="preserve">Aspirinas, paskirtas per 48 valandas nuo išeminio insulto, nedaug, bet reikšmingai sumažina mirties ar priklausomybės riziką po 6 mėnesių; maždaug 13 iš 1 000 gydytų pacientų išvengia šios baigties.</w:t>
      </w:r>
    </w:p>
    <w:p>
      <w:pPr>
        <w:pStyle w:val="Compact"/>
        <w:numPr>
          <w:ilvl w:val="0"/>
          <w:numId w:val="1003"/>
        </w:numPr>
      </w:pPr>
      <w:r>
        <w:t xml:space="preserve">Didžiausia aspirino nauda – rečiau pasikartojantys išeminiai insultai pirmosiomis savaitėmis; kraujavimo rizika reikšmingai nepadidėja.</w:t>
      </w:r>
    </w:p>
    <w:p>
      <w:pPr>
        <w:pStyle w:val="Compact"/>
        <w:numPr>
          <w:ilvl w:val="0"/>
          <w:numId w:val="1003"/>
        </w:numPr>
      </w:pPr>
      <w:r>
        <w:t xml:space="preserve">Poodinis heparinas bendros naudos neduoda: išeminių insultų sumažėjimą atsveria hemoraginių insultų padidėjimas.</w:t>
      </w:r>
    </w:p>
    <w:p>
      <w:pPr>
        <w:pStyle w:val="FirstParagraph"/>
      </w:pPr>
      <w:r>
        <w:t xml:space="preserve">Šios analizės rezultatai sutampa su paskelbtais pirminio tyrimo rezultatais</w:t>
      </w:r>
      <w:r>
        <w:t xml:space="preserve"> </w:t>
      </w:r>
      <w:r>
        <w:t xml:space="preserve">(International Stroke Trial Collaborative Group 1997)</w:t>
      </w:r>
      <w:r>
        <w:t xml:space="preserve">: mirtis per 14 dienų 9,0 % ir 9,4 %, mirtis arba priklausomybė po 6 mėnesių 62,2 % ir 63,5 %.</w:t>
      </w:r>
    </w:p>
    <w:p>
      <w:pPr>
        <w:pStyle w:val="BodyText"/>
      </w:pPr>
      <w:r>
        <w:rPr>
          <w:b/>
          <w:bCs/>
        </w:rPr>
        <w:t xml:space="preserve">Ribotumai.</w:t>
      </w:r>
      <w:r>
        <w:t xml:space="preserve"> </w:t>
      </w:r>
      <w:r>
        <w:t xml:space="preserve">Tyrimas buvo atvirasis (pacientai ir gydytojai žinojo paskirtą gydymą), tačiau pagrindinės baigtys (mirtis, priklausomybė) mažai priklauso nuo vertintojo. Kompiuterinė tomografija prieš suskirstymą atlikta ne visiems pacientams, todėl dalis hemoraginių insultų galėjo būti neatpažinti. Duomenys surinkti 1991–1996 m., kai insulto gydymas (pvz., trombolizė) buvo kitoks nei šiandien.</w:t>
      </w:r>
    </w:p>
    <w:bookmarkEnd w:id="36"/>
    <w:bookmarkStart w:id="44" w:name="šaltiniai"/>
    <w:p>
      <w:pPr>
        <w:pStyle w:val="Heading1"/>
      </w:pPr>
      <w:r>
        <w:t xml:space="preserve">Šaltiniai</w:t>
      </w:r>
    </w:p>
    <w:bookmarkStart w:id="43" w:name="refs"/>
    <w:bookmarkStart w:id="38" w:name="ref-ist1997"/>
    <w:p>
      <w:pPr>
        <w:pStyle w:val="Bibliography"/>
      </w:pPr>
      <w:r>
        <w:t xml:space="preserve">International Stroke Trial Collaborative Group. 1997.</w:t>
      </w:r>
      <w:r>
        <w:t xml:space="preserve"> </w:t>
      </w:r>
      <w:r>
        <w:t xml:space="preserve">„The International Stroke Trial (</w:t>
      </w:r>
      <w:r>
        <w:t xml:space="preserve">IST</w:t>
      </w:r>
      <w:r>
        <w:t xml:space="preserve">): a randomised trial of aspirin, subcutaneous heparin, both, or neither among 19435 patients with acute ischaemic stroke“</w:t>
      </w:r>
      <w:r>
        <w:t xml:space="preserve">.</w:t>
      </w:r>
      <w:r>
        <w:t xml:space="preserve"> </w:t>
      </w:r>
      <w:r>
        <w:rPr>
          <w:i/>
          <w:iCs/>
        </w:rPr>
        <w:t xml:space="preserve">The Lancet</w:t>
      </w:r>
      <w:r>
        <w:t xml:space="preserve"> </w:t>
      </w:r>
      <w:r>
        <w:t xml:space="preserve">349 (9065): 1569–81.</w:t>
      </w:r>
      <w:r>
        <w:t xml:space="preserve"> </w:t>
      </w:r>
      <w:hyperlink r:id="rId37">
        <w:r>
          <w:rPr>
            <w:rStyle w:val="Hyperlink"/>
          </w:rPr>
          <w:t xml:space="preserve">https://doi.org/10.1016/S0140-6736(97)04011-7</w:t>
        </w:r>
      </w:hyperlink>
      <w:r>
        <w:t xml:space="preserve">.</w:t>
      </w:r>
    </w:p>
    <w:bookmarkEnd w:id="38"/>
    <w:bookmarkStart w:id="40" w:name="ref-sandercock2011"/>
    <w:p>
      <w:pPr>
        <w:pStyle w:val="Bibliography"/>
      </w:pPr>
      <w:r>
        <w:t xml:space="preserve">Sandercock, Peter A. G., Maciej Niewada, Anna Członkowska, ir International Stroke Trial Collaborative Group. 2011a.</w:t>
      </w:r>
      <w:r>
        <w:t xml:space="preserve"> </w:t>
      </w:r>
      <w:r>
        <w:t xml:space="preserve">„The International Stroke Trial database“</w:t>
      </w:r>
      <w:r>
        <w:t xml:space="preserve">.</w:t>
      </w:r>
      <w:r>
        <w:t xml:space="preserve"> </w:t>
      </w:r>
      <w:r>
        <w:rPr>
          <w:i/>
          <w:iCs/>
        </w:rPr>
        <w:t xml:space="preserve">Trials</w:t>
      </w:r>
      <w:r>
        <w:t xml:space="preserve"> </w:t>
      </w:r>
      <w:r>
        <w:t xml:space="preserve">12: 101.</w:t>
      </w:r>
      <w:r>
        <w:t xml:space="preserve"> </w:t>
      </w:r>
      <w:hyperlink r:id="rId39">
        <w:r>
          <w:rPr>
            <w:rStyle w:val="Hyperlink"/>
          </w:rPr>
          <w:t xml:space="preserve">https://doi.org/10.1186/1745-6215-12-101</w:t>
        </w:r>
      </w:hyperlink>
      <w:r>
        <w:t xml:space="preserve">.</w:t>
      </w:r>
    </w:p>
    <w:bookmarkEnd w:id="40"/>
    <w:bookmarkStart w:id="42" w:name="ref-istdata"/>
    <w:p>
      <w:pPr>
        <w:pStyle w:val="Bibliography"/>
      </w:pPr>
      <w:r>
        <w:t xml:space="preserve">———. 2011b.</w:t>
      </w:r>
      <w:r>
        <w:t xml:space="preserve"> </w:t>
      </w:r>
      <w:r>
        <w:t xml:space="preserve">„The International Stroke Trial database (version 2)“</w:t>
      </w:r>
      <w:r>
        <w:t xml:space="preserve">. University of Edinburgh, DataShare.</w:t>
      </w:r>
      <w:r>
        <w:t xml:space="preserve"> </w:t>
      </w:r>
      <w:hyperlink r:id="rId41">
        <w:r>
          <w:rPr>
            <w:rStyle w:val="Hyperlink"/>
          </w:rPr>
          <w:t xml:space="preserve">https://datashare.ed.ac.uk/handle/10283/124</w:t>
        </w:r>
      </w:hyperlink>
      <w:r>
        <w:t xml:space="preserve">.</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4"/>
        <w:szCs w:val="24"/>
        <w:lang w:bidi="ar-SA" w:eastAsia="en-US" w:val="lt"/>
      </w:rPr>
    </w:rPrDefault>
    <w:pPrDefault>
      <w:pPr>
        <w:spacing w:after="120" w:line="276"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2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imes New Roman" w:cs="Times New Roman" w:eastAsia="Times New Roman" w:hAnsi="Times New Roman"/>
      <w:b/>
      <w:spacing w:val="-10"/>
      <w:kern w:val="28"/>
      <w:sz w:val="36"/>
      <w:szCs w:val="36"/>
    </w:rPr>
  </w:style>
  <w:style w:customStyle="1" w:styleId="TitleChar" w:type="character">
    <w:name w:val="Title Char"/>
    <w:basedOn w:val="DefaultParagraphFont"/>
    <w:link w:val="Title"/>
    <w:uiPriority w:val="10"/>
    <w:rsid w:val="00A10FD9"/>
    <w:rPr>
      <w:rFonts w:ascii="Times New Roman" w:cs="Times New Roman" w:eastAsia="Times New Roman" w:hAnsi="Times New Roman"/>
      <w:spacing w:val="-10"/>
      <w:kern w:val="28"/>
      <w:sz w:val="56"/>
      <w:szCs w:val="56"/>
    </w:rPr>
  </w:style>
  <w:style w:styleId="Subtitle" w:type="paragraph">
    <w:name w:val="Subtitle"/>
    <w:basedOn w:val="Normal"/>
    <w:next w:val="BodyText"/>
    <w:link w:val="SubtitleChar"/>
    <w:uiPriority w:val="11"/>
    <w:qFormat/>
    <w:rsid w:val="00A10FD9"/>
    <w:pPr>
      <w:numPr>
        <w:ilvl w:val="1"/>
      </w:numPr>
      <w:jc w:val="center"/>
    </w:pPr>
    <w:rPr>
      <w:rFonts w:ascii="Times New Roman" w:cs="Times New Roman" w:eastAsia="Times New Roman" w:hAnsi="Times New Roman"/>
      <w:i/>
      <w:color w:val="000000"/>
      <w:sz w:val="26"/>
      <w:szCs w:val="26"/>
    </w:rPr>
  </w:style>
  <w:style w:customStyle="1" w:styleId="SubtitleChar" w:type="character">
    <w:name w:val="Subtitle Char"/>
    <w:basedOn w:val="DefaultParagraphFont"/>
    <w:link w:val="Subtitle"/>
    <w:uiPriority w:val="11"/>
    <w:rsid w:val="00A10FD9"/>
    <w:rPr>
      <w:rFonts w:ascii="Times New Roman" w:cs="Times New Roman" w:eastAsia="Times New Roman" w:hAnsi="Times New Roman"/>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imes New Roman" w:cs="Times New Roman" w:eastAsia="Times New Roman" w:hAnsi="Times New Roman"/>
      <w:b/>
      <w:color w:val="000000"/>
      <w:sz w:val="32"/>
      <w:szCs w:val="32"/>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imes New Roman" w:cs="Times New Roman" w:eastAsia="Times New Roman" w:hAnsi="Times New Roman"/>
      <w:b/>
      <w:color w:val="000000"/>
      <w:sz w:val="26"/>
      <w:szCs w:val="26"/>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Times New Roman" w:cs="Times New Roman" w:eastAsia="Times New Roman" w:hAnsi="Times New Roman"/>
      <w:b/>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Times New Roman" w:cs="Times New Roman" w:eastAsia="Times New Roman" w:hAnsi="Times New Roman"/>
      <w:b/>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Times New Roman" w:cs="Times New Roman" w:eastAsia="Times New Roman" w:hAnsi="Times New Roman"/>
      <w:b/>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Times New Roman" w:cs="Times New Roman" w:eastAsia="Times New Roman" w:hAnsi="Times New Roman"/>
      <w:b/>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Times New Roman" w:cs="Times New Roman" w:eastAsia="Times New Roman" w:hAnsi="Times New Roman"/>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Times New Roman" w:cs="Times New Roman" w:eastAsia="Times New Roman" w:hAnsi="Times New Roman"/>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Times New Roman" w:cs="Times New Roman" w:eastAsia="Times New Roman" w:hAnsi="Times New Roman"/>
      <w:color w:themeColor="text1" w:themeTint="D8" w:val="272727"/>
    </w:rPr>
  </w:style>
  <w:style w:customStyle="1" w:styleId="Heading1Char" w:type="character">
    <w:name w:val="Heading 1 Char"/>
    <w:basedOn w:val="DefaultParagraphFont"/>
    <w:link w:val="Heading1"/>
    <w:uiPriority w:val="9"/>
    <w:rsid w:val="00A10FD9"/>
    <w:rPr>
      <w:rFonts w:ascii="Times New Roman" w:cs="Times New Roman" w:eastAsia="Times New Roman" w:hAnsi="Times New Roman"/>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imes New Roman" w:cs="Times New Roman" w:eastAsia="Times New Roman" w:hAnsi="Times New Roman"/>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Times New Roman" w:cs="Times New Roman" w:eastAsia="Times New Roman" w:hAnsi="Times New Roman"/>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Times New Roman" w:cs="Times New Roman" w:eastAsia="Times New Roman" w:hAnsi="Times New Roman"/>
      <w:i/>
      <w:iCs/>
      <w:color w:themeColor="accent1" w:themeShade="BF" w:val="0F4761"/>
    </w:rPr>
  </w:style>
  <w:style w:customStyle="1" w:styleId="Heading5Char" w:type="character">
    <w:name w:val="Heading 5 Char"/>
    <w:basedOn w:val="DefaultParagraphFont"/>
    <w:link w:val="Heading5"/>
    <w:uiPriority w:val="9"/>
    <w:semiHidden/>
    <w:rsid w:val="00A10FD9"/>
    <w:rPr>
      <w:rFonts w:ascii="Times New Roman" w:cs="Times New Roman" w:eastAsia="Times New Roman" w:hAnsi="Times New Roman"/>
      <w:color w:themeColor="accent1" w:themeShade="BF" w:val="0F4761"/>
    </w:rPr>
  </w:style>
  <w:style w:customStyle="1" w:styleId="Heading6Char" w:type="character">
    <w:name w:val="Heading 6 Char"/>
    <w:basedOn w:val="DefaultParagraphFont"/>
    <w:link w:val="Heading6"/>
    <w:uiPriority w:val="9"/>
    <w:semiHidden/>
    <w:rsid w:val="00A10FD9"/>
    <w:rPr>
      <w:rFonts w:ascii="Times New Roman" w:cs="Times New Roman" w:eastAsia="Times New Roman" w:hAnsi="Times New Roman"/>
      <w:i/>
      <w:iCs/>
      <w:color w:themeColor="text1" w:themeTint="A6" w:val="595959"/>
    </w:rPr>
  </w:style>
  <w:style w:customStyle="1" w:styleId="Heading7Char" w:type="character">
    <w:name w:val="Heading 7 Char"/>
    <w:basedOn w:val="DefaultParagraphFont"/>
    <w:link w:val="Heading7"/>
    <w:uiPriority w:val="9"/>
    <w:semiHidden/>
    <w:rsid w:val="00A10FD9"/>
    <w:rPr>
      <w:rFonts w:ascii="Times New Roman" w:cs="Times New Roman" w:eastAsia="Times New Roman" w:hAnsi="Times New Roman"/>
      <w:color w:themeColor="text1" w:themeTint="A6" w:val="595959"/>
    </w:rPr>
  </w:style>
  <w:style w:customStyle="1" w:styleId="Heading8Char" w:type="character">
    <w:name w:val="Heading 8 Char"/>
    <w:basedOn w:val="DefaultParagraphFont"/>
    <w:link w:val="Heading8"/>
    <w:uiPriority w:val="9"/>
    <w:semiHidden/>
    <w:rsid w:val="00A10FD9"/>
    <w:rPr>
      <w:rFonts w:ascii="Times New Roman" w:cs="Times New Roman" w:eastAsia="Times New Roman" w:hAnsi="Times New Roman"/>
      <w:i/>
      <w:iCs/>
      <w:color w:themeColor="text1" w:themeTint="D8" w:val="272727"/>
    </w:rPr>
  </w:style>
  <w:style w:customStyle="1" w:styleId="Heading9Char" w:type="character">
    <w:name w:val="Heading 9 Char"/>
    <w:basedOn w:val="DefaultParagraphFont"/>
    <w:link w:val="Heading9"/>
    <w:uiPriority w:val="9"/>
    <w:semiHidden/>
    <w:rsid w:val="00A10FD9"/>
    <w:rPr>
      <w:rFonts w:ascii="Times New Roman" w:cs="Times New Roman" w:eastAsia="Times New Roman" w:hAnsi="Times New Roman"/>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Times New Roman" w:cs="Times New Roman" w:eastAsia="Times New Roman" w:hAnsi="Times New Roman"/>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1F45A0"/>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color w:val="00000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hyperlink" Id="rId41" Target="https://datashare.ed.ac.uk/handle/10283/124" TargetMode="External" /><Relationship Type="http://schemas.openxmlformats.org/officeDocument/2006/relationships/hyperlink" Id="rId37" Target="https://doi.org/10.1016/S0140-6736(97)04011-7" TargetMode="External" /><Relationship Type="http://schemas.openxmlformats.org/officeDocument/2006/relationships/hyperlink" Id="rId39" Target="https://doi.org/10.1186/1745-6215-12-101" TargetMode="External" /></Relationships>
</file>

<file path=word/_rels/footnotes.xml.rels><?xml version="1.0" encoding="UTF-8"?><Relationships xmlns="http://schemas.openxmlformats.org/package/2006/relationships"><Relationship Type="http://schemas.openxmlformats.org/officeDocument/2006/relationships/hyperlink" Id="rId41" Target="https://datashare.ed.ac.uk/handle/10283/124" TargetMode="External" /><Relationship Type="http://schemas.openxmlformats.org/officeDocument/2006/relationships/hyperlink" Id="rId37" Target="https://doi.org/10.1016/S0140-6736(97)04011-7" TargetMode="External" /><Relationship Type="http://schemas.openxmlformats.org/officeDocument/2006/relationships/hyperlink" Id="rId39" Target="https://doi.org/10.1186/1745-6215-12-1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panose="02110004020202020204"/>
        <a:ea typeface="Times New Roman"/>
        <a:cs typeface="Times New Roman"/>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110004020202020204"/>
        <a:ea typeface="Times New Roman"/>
        <a:cs typeface="Times New Roman"/>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Aspirinas ir heparinas po išeminio insulto</dc:title>
  <dc:creator>Paulius Alaburda, statistikas.lt</dc:creator>
  <dc:language>lt</dc:language>
  <cp:keywords/>
  <dcterms:created xsi:type="dcterms:W3CDTF">2026-10-17T04:21:00Z</dcterms:created>
  <dcterms:modified xsi:type="dcterms:W3CDTF">2026-10-17T04:21:00Z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saltiniai.bib</vt:lpwstr>
  </property>
  <property fmtid="{D5CDD505-2E9C-101B-9397-08002B2CF9AE}" pid="5" name="by-author">
    <vt:lpwstr/>
  </property>
  <property fmtid="{D5CDD505-2E9C-101B-9397-08002B2CF9AE}" pid="6" name="date">
    <vt:lpwstr>2026 m. spalio 17 d.</vt:lpwstr>
  </property>
  <property fmtid="{D5CDD505-2E9C-101B-9397-08002B2CF9AE}" pid="7" name="date-format">
    <vt:lpwstr>long</vt:lpwstr>
  </property>
  <property fmtid="{D5CDD505-2E9C-101B-9397-08002B2CF9AE}" pid="8" name="execute">
    <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knitr">
    <vt:lpwstr/>
  </property>
  <property fmtid="{D5CDD505-2E9C-101B-9397-08002B2CF9AE}" pid="13" name="labels">
    <vt:lpwstr/>
  </property>
  <property fmtid="{D5CDD505-2E9C-101B-9397-08002B2CF9AE}" pid="14" name="subtitle">
    <vt:lpwstr>Tarptautinio insulto tyrimo (IST-1) duomenų pakartotinė analizė</vt:lpwstr>
  </property>
  <property fmtid="{D5CDD505-2E9C-101B-9397-08002B2CF9AE}" pid="15" name="toc-title">
    <vt:lpwstr>Turinys</vt:lpwstr>
  </property>
</Properties>
</file>